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20.09.2023 с ходатайством о восстановлении срока, которое обосновывается несвоевременным опубликованием постановления окружного суда – 19.07.2023. Согласно статье 291.2 Арбитражного процессуального кодекса Российской Федерации (далее – Кодекс) кассационная жалоба подается в срок, не превышающий двух месяцев со дня вступления в силу последнего обжалуемого судебного акта и восстановление этого срока возможно при пропуске его по причинам, не зависящим от лица, обратившегося с такой жалобой. Решение, выполненное в форме электронного документа, направляется участвующим в деле лицам посредством размещения на официальном сайте арбитражного суда в сети Интернет (часть 1 статьи 177 Кодекса) не позднее следующего дня после его принятия. Текст постановления Арбитражного суда Московского округа от 18.07.2023 согласно картотеке арбитражных дел сайта http://kad.arbitr.ru размещен в сети Интернет 19.07.2023. Официальное опубликование 19.07.2023 текста постановления указывает на отсутствие нарушения судом срока его изготовления и направления. В указанной ситуации как связывание срока подачи жалобы с днем опубликования постановления является ошибочным, так и отсутствует объективная причина несоблюдения этого срока, поэтому в его восстановлении следует отказать. В связи с подачей в электронном виде жалоба возвращению не подлежит, а оставляется без рассмотрения по существу. Руководствуясь статьей 184 , статьей 291.2 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восстановлении срока подачи кассационной жалобы на определение Десятого арбитражного апелляционного суда от 09.06.2023 и постановление Арбитражного суда Московского округа от 18.07.2023 по делу № А41-63988/2021 Арбитражного суда Московской области. Кассационную жалобу не рассматривать по существу. Судья Верховного Суда Российской Федерации Н.А. Ксенофонтова Суд: Верховный Суд РФ (подробнее) Истцы: Межрегиональное управление Федеральной службы по финансовому мониторингу по Центральному федеральному округу (подробнее) ОАО Акционерный коммерческий банк "Пробизнесбанк" (подробнее) ООО "МИЦ-СТРОЙКАПИТАЛ" (подробнее) ООО СПЕЦИАЛИЗИРОВАННОЕ ПРЕДПРИЯТИЕ "ЛИФТЕК" (подробнее) ООО "ТЕХНИКА И СТРОИТЕЛЬСТВО" (подробнее) ООО "Феникс"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