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определением Арбитражного суда Московской области от 08.12.2022 завершена процедура реализации имущества должника, должник освобождена от дальнейшего исполнения обязательств перед кредиторами. Постановлением Десятого арбитражного апелляционного суда от 17.03.2023 определение суда первой инстанции оставлено без изменения. Арбитражный суд Московского округа постановлением от 29.05.2023 указанные судебные акты оставил без изменения. АО «Юридическое Бюро Факториус»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Завершая процедуру реализации имущества должника, суды руководствовались положениями статей 213.2 , 213.25 ,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исходили из проведения необходимых мероприятий по выявлению и реализации имущества должника и отсутствия возможности пополнения конкурсной массы и признали наличие возможности освободить должника от исполнения обязательств, не усмотрев в действиях должника недобросовестного поведения, умышленного уклонения от исполнения обязательств перед кредиторами, не установив признаков преднамеренного 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"Альфа-Банк" (подробнее) АО "Юридическое Бюро ФАКТОРИУС" (подробнее) Межрайонная ИФНС России №17 по Московской области (подробнее) НАО "Первое коллекторское бюро" (подробнее) ООО "Феникс" (подробнее) ООО ЭС-БИ-АЙ БАНК (подробнее) ПАО Банк "Финансовая Корпорация Открытие" (подробнее) ПАО "Росгосстрах банк" (подробнее) СРО "СМиАУ"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