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12.12.2022, оставленным без изменения постановлением Девятого арбитражного апелляционного суда от 03.02.2023 и постановлением Арбитражного суда Московского округа от 25.05.2023, требование кредитора признано обоснованным в размере 390 833 333 рублей и подлежащим удовлетворению за счет имущества должника, оставшегося после удовлетворения требований кредиторов, включенных в реестр. В кассационной жалобе Стерлигов П.Н. просит об отмене судебных актов, ссылаясь на отсутствие оснований для удовлетворения заявленного требования по праву и размеру, неосновательное применение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финансового управляющего противоречат статьям 16, 69 Арбитражного процессуального кодекса Российской Федерации, опровергаются установленными судами солидарным характером обязательства и правопреемством в отношении него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Стерлигову П.Н.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