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2 предоставленных суду кассационной инстанции (статьи 286,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имущества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