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22.02.2023 заявление удовлетворено. Девятый арбитражный апелляционный суд постановлением от 26.04.2023 отменил определение от 22.02.2023 и отказал в удовлетворении заявления. Арбитражный суд Московского округа постановлением от 05.07.2023 оставил без изменения постановление апелляционного суда от 26.04.2023. В кассационной жалобе Янин В.С. просит об отмене постановлений апелляционного и окружного судов, ссылаясь на нарушение его и членов семьи жилищных прав, неосновательный вывод об экономическом эффекте продажи спорной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 выборе из числа принадлежащих должнику на праве собственности жилых помещений, находящихся в Московском регионе, правомерно руководствовался соотношением интересов должника и проживающих с ним лиц (учитывая степень родства и права пользования спорной квартирой) и кредиторов должника. Выводы судов об отсутствии нарушения жилищных прав должника вследствие отказа в предоставлении исполнительского иммунитета в отношении спорной квартиры и экономическом эффекте от ее реализации соответствуют обстоятельствам банкротства должника, правовым позициям, содержащимся в постановлении Конституционного Суда Российской Федерации от 26.04.2021 № 15-П,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Янину Виктору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