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Пермского края обратился кредитор ФИО3 с заявлением о признании недействительной цепочки сделок, совершенных за счет имущества должника в виде договора купли-продажи недвижимого имущества от 01.06.2006, заключенного между должником и ФИО2, и договора купли-продажи недвижимого имущества от 20.06.2008, заключенного между ФИО2 и ФИО1, и применении последствий недействительности сделки в виде признания отсутствующим права требования ФИО1 к должнику в сумме 1 650 000 рублей. Определением Арбитражного суда Пермского края от 12.12.2022, оставленным без изменения постановлением Семнадцатого арбитражного апелляционного суда от 07.03.2023 и постановлением Арбитражного суда Уральского округа от 13.06.2023, в удовлетворении заявления отказано. ФИО1 обратилась в Судебную коллегию Верховного Суда Российской Федерации с кассационной жалобой на принятые судебные акты в части выводов судов, изложенных в мотивировочной части судебных актов,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исходили из пропуска заявителем - кредитором срока исковой давности, что является самостоятельным основанием для отказа в удовлетворении заявленных требований.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ГУ ОТДЕЛЕНИЕ ПЕНСИОННОГО ФОНДА РОССИЙСКОЙ ФЕДЕРАЦИИ ПО ПЕРМСКОМУ КРАЮ (подробнее) ГУ Пермская лаборатория судебной экспертизы МИНЮСТ РФ (подробнее) Инспекция Федеральной налоговой службы по Свердловскому району г. Перми (подробнее) ООО ЗАВОД "ПЛАСТИК-ПРОФИЛЬ" (подробнее) САМОРЕГУЛИРУЕМАЯ ОРГАНИЗАЦИЯ АССОЦИАЦИЯ АРБИТРАЖНЫХ УПРАВЛЯЮЩИХ "СИНЕРГИЯ" (подробнее) ФГБУ "Федеральная кадастровая палата Федеральной службы государственной регистрации, кадастра и картографии"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