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общество с ограниченной ответственностью «Компания Уралкам» обратился в суд с заявлением о пересмотре по вновь открывшимся обстоятельствам определения Арбитражного суда Челябинской области от 22.02.2022 о замене публичного акционерного общества «Сбербанк России» на правопреемника – общество в части требования в размере 16 956 955 рублей 09 копеек. Определением Арбитражного суда Челябинской области от 12.12.2022, оставленным без изменения постановлениями Восемнадцатого арбитражного апелляционного суда от 15.02.2023 и Арбитражного суда Уральского округа от 05.06.2023, заявление удовлетворено. В кассационной жалобе, поданной в Верховный Суд Российской Федерации, заявитель просит отменить названные судебные акты, принять по делу новый судебный акт об отказе в удовлетворении заявления или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удовлетворяя заявление, суды, руководствуясь статьями 311, 312 Арбитражного процессуального кодекса Российской Федерации, пунктами 4 и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раскрытия конкурсным кредитором обстоятельств, отвечавших признакам вновь открывшихся и имеющих существенное значение для правильного рассмотрения требований общества.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