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первой и кассационной инстанций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требования, суд первой инстанции, с которым впоследствии согласился суд округа, исследовав и оценив представленные в материалы дела доказательства, руководствуясь положениями 2 законодательства, регулирующего спорные правоотношения, исходил из наличия у ответчика обязанности по оплате испрашиваемой задолженности. Доводы заявителя с учетом установленных фактических обстоятельств спора не подтверждают существенных нарушений судами первой и кассационной инстанций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«Управление механизации –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