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перечислений с расчётного счёта должника в пользу общества 594 100 рублей и применении последействий недействительности сделок в виде возврата в конкурсную массу денежных средств в указанной сумме. Определением Арбитражного суда Московской области от 29.09.2022 требования удовлетворены. Общество 22.12.2022 обратилось в Десятый арбитражный апелляционный суд жалобой на определение суда первой инстанции от 29.09.2022, заявив ходатайство о восстановлении пропущенного процессуального срока. Определением Десятого арбитражного апелляционного суда от 24.04.2023, оставленным без изменения постановлением Арбитражного суда Московского округа от 28.06.2023, прекращено производство по апелляционной жалобе заявителя. В кассационной жалобе, поданной в Верховный Суд Российской Федерации, заявитель просит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и подтверждая законность такого прекращения, суды апелляционной инстанции и округа, руководствуясь положениями статей 9, 117, 123, 150 и 259 Арбитражного процессуального кодекса Российской Федерации, установив надлежащее извещение заявителя о начавшемся процессе, пришли к выводу о пропуске заявителем процессуального срока на подачу жалобы и отсутствия уважительных причин для его восстановления.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