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договоров купли-продажи транспортных средств от 07.10.2016 № 19, от 19.07.2017 № 01, от 20.07.2017 № 08, от 20.07.2017 № 09, от 20.07.2017 № 10, заключенных между должником и обществом с ограниченной ответственностью «АльянсСпецАвто», применении последствий недействительности сделок в виде возврата транспортных средств в конкурсную массу должника. Определением Арбитражного суда Сахалинской области от 26.10.2022, оставленным без изменения постановлениями Пятого арбитражного апелляционного суда от 01.03.2023 и Арбитражного суда Дальневосточного округа от 22.06.2023, требования удовлетворены.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Сахалинской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статьи 61.6 Федерального закона от 26.10.2002 № 127-ФЗ «О несостоятельности (банкротстве)», установив совершение оспариваемых сделок аффинированными лицами с противоправной целью в пределах периода подозрительности, при наличии признаков несостоятельности должника и отсутствии встречного исполнения, пришли к выводу об обоснованности заявления, указав на следствие сделок – причинение вреда кредиторам должника,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