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Парамонов Е.В. обратился в суд с исковым заявлением о взыскании с общества с ограниченной ответственностью «Научно Производственная Нано Технологическая Индустриальная Корпорация О.С.М.» (далее – общество) убытков в размере 640 098 245 рублей 08 копеек. Определением Арбитражного суда города Санкт – Петербурга и Ленинградской области от 09.02.2023, оставленным без изменения постановлениями Тринадцатого арбитражного апелляционного суда от 05.04.2023 и Арбитражного суда Северо-Западного округа от 23.05.2023, исковое заявление возвращено заявителю. В кассационной жалобе, поданной в Верховный Суд Российской Федерации, заявитель просит отменить названные судебные акты и направить дело в суд первой инстанции для рассмотрения искового заявления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исковое заявление и подтверждая законность такого возврата, суды, руководствуясь статьями 27, 29, 129 Арбитражного процессуального кодекса Российской Федерации, исходили из того, что настоящее дело не относится к компетенции арбитражного суда и заявителем не соблюден обязательный досудебный порядок урегулирования спора с обществом.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