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Парамонов Е.В. обратился в суд с исковым заявлением о взыскании с общества с ограниченной ответственностью «Мегаснаб-Сервис» (далее – общество) убытков в размере 322 539 129 рублей. Определением Арбитражного суда города Санкт – Петербурга и Ленинградской области от 09.02.2023, оставленным без изменения постановлениями Тринадцатого арбитражного апелляционного суда от 29.03.2023 и Арбитражного суда Северо-Западного округа от 24.05.2023, исковое заявление возвращено заявителю.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для рассмотрения искового заявления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49, 63 Гражданского кодекса Российской Федерации, статьями 4, 27, 29, 129 Арбитражного процессуального кодекса Российской Федерации, исходили из того, что настоящее дело не относится к компетенции арбитражного суда и заявителем не соблюден обязательный досудебный порядок урегулирования спора с обществом. На отсутствие оснований для рассмотрения искового заявления по существу, согласно выводам суда округа, указывал факт его подачи после внесения в Единый государственный реестр юридических лиц регистрационной записи о ликвидации общества (30.12.2021).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