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перечислений в период с февраля по апрель 2020 года с расчётных счетов должника в пользу Вартаняна К.Ф. 1 044 870 рублей. Определением Арбитражного суда города Москвы от 18.08.2022 заявление удовлетворено, применены последствия недействительности сделок в виде взыскания с Вартаняна К.Ф. 1 044 870 рублей. Вартанян К.Ф. обратился в Девятый арбитражный апелляционный суд с жалобой на определение суда первой инстанции от 18.08.2022, заявив ходатайство о восстановлении пропущенного процессуального срока. Определением Девятого арбитражного апелляционного суда от 23.05.2023, оставленным без изменения постановлением Арбитражного суда Московского округа от 10.07.2023, прекращено производство по апелляционной жалобе заявителя.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апелляционную жалобу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9, 117, 150 и 259 Арбитражного процессуального кодекса Российской Федерации, установив надлежащее извещение заявителя о начавшемся процессе, пришли к выводу о пропуске заявителем процессуального срока на подачу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