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08.02.2019, оставленным без изменения постановлением Девятого арбитражного апелляционного суда от 08.04.2019 и постановлением Арбитражного суда Московского округа от 17.06.2019, финансовому управляющему имуществом должника в удовлетворении ходатайства о продлении процедуры реализации имущества должника отказано; процедура реализации имущества должника завершена; в отношении должника не применено правило об освобождении от дальнейшего исполнения обязательств. В кассационной жалобе должник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213.1, 213.24-213.28 Федерального закона от 26.10.2002 № 127-ФЗ «О несостоятельности (банкротстве)», статьями 1 , 10 Гражданского кодекса Российской Федерации и исходили из того, что финансовым управляющим предприняты все возможные мероприятия в рамках рассматриваемой процедуры, наличие возможности пополнения конкурсной массы не установлено, оснований для применения в отношении должника правила об освобождении от дальнейшего исполнения обязательств не имеется: должник действовал неразумно и недобросовестно, наращивая свою задолженность перед кредиторами в отсутствие реальной возможности её погашения и скрывая неплатежеспособность.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Судьи дела: Самуйлов С.В.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