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недействительной сделкой договора цессии от 21.12.2018, заключенного должником и обществом «Сплав», и применении последствий недействительности сделки в виде восстановления прав требований должника к обществу «Сплав» по договору поставки от 28.09.2018 № 260785 в размере 9 352 000 рублей. Определением Арбитражного суда Калининградской области от 12.10.2022, оставленным без изменения постановлениями Тринадцатого арбитражного апелляционного суда от 06.02.2023 и Арбитражного суда Северо- Западного округа от 25.05.2023,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Арбитражный суд Калининградской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оспариваемой сделки с противоправной целью в пределах периода подозрительности, при наличии признаков несостоятельности должника и отсутствии экономической целесообразности, пришли к выводу об обоснованности заявления, указав на следствие сделки – причинение вреда кредиторам должника,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