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Московской области обратился должник с заявлением об исключении жилого дома и земельного участка из конкурсной массы, как единственного пригодного для постоянного проживания должника и членов его семьи жилья. Определением Арбитражного суда Московской области от 26.01.2023, оставленным без изменения постановлением Десятого арбитражного апелляционного суда от 29.03.2023, заявление удовлетворено. Арбитражный суд Московского округа постановлением от 06.07.2023 указанные судебные акты отменил, обособленный спор направил на новое рассмотрение в Арбитражный суд Московской области. ФИО1 обратился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обжалуемого судебного акта в кассационном порядке по доводам жалобы не установлено. Отменяя принятые по спору судебные акты и направляя обособленный спор на новое рассмотрение в суд первой инстанции с целью установления обстоятельств, имеющих значение для правильного разрешения спора, полного и всестороннего исследования и оценки представленных доказательств, окружной суд действовал в пределах полномочий, предусмотренных статьями 287 , 288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Ассоциация "Региональная саморегулируемая организация профессиональных арбитражных управляющих" (подробнее) АССОЦИАЦИЯ СРО "МЦПУ" (подробнее) НП Саморегулируемая организация арбитражных управляющих "Развитие" (подробнее) ПАО "Сбербанк России" (подробнее) Ответчики: ООО "Нефтон"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