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Алешиной Н.А. в Арбитражный суд города Москвы обратился финансовый управляющий имуществом должника Окунев А.В. с заявлением о признании недействительным договора купли-продажи транспортного средства от 10.06.2020, заключенного между должником и Мельниковым С.Ю., и применении последствий его недействительности. Определением Арбитражного суда города Москвы от 27.12.2022, оставленным без изменения постановлением Девятого арбитражного апелляционного суда от 06.03.2023 и постановлением Арбитражного суда Московского округа от 25.05.2023, договор купли-продажи транспортного средства признан недействительной сделкой, применены последствия его недействительности в виде двусторонней реституции. Мельников С.Ю.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Признавая договор купли-пропажи транспортного средства недействительным, суды исходили из наличия совокупности обстоятельств, достаточных для признания недействительной сделки по основаниям, предусмотренным пунктом 2 статьи 61.2 Федерального закона от 26.10.2002 № 127-ФЗ «О несостоятельности (банкротстве)», учитывая совершение сделки с заинтересованным лицом, с целью причинения вреда имущественным правам кредиторов, в период неплатежеспособности или недостаточности имущества должника.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