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города Москвы обратился финансовый управляющий с заявлением о признании недействительной сделки, заключенной между должником и ФИО1 в отношении автомобиля, и применении последствий недействительности сделки. Определением Арбитражного суда города Москвы от 16.12.2022 заявление удовлетворено; признана недействительной сделка в отношении спорного автомобиля и применены последствия недействительности сделки в виде взыскания с ФИО1 в конкурсную массу должника 695 000 рублей. Постановлением Девятого арбитражного апелляционного суда от 24.02.2023 определение суда первой инстанции оставлено без изменения. Арбитражный суд Московского округа постановлением от 05.06.2023 указанные судебные акты оставил без изменения. ФИО1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пункта 2 статьи 61.2 , статьями 61.6 , 213.25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доказанности заявителем наличия совокупности обстоятельств, необходимой для признания спорной сделки недействительной как совершенной с целью причинения вреда имущественным правам кредиторов, учитывая, что оспариваемая сделка совершена в преддверии банкротства должника, по цене ниже рыночной стоимости, с целью вывода спорного имущества и предотвращения возможного обращения на него взыскания.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Инспекция Федеральной налоговой службы №20 по г. Москве (подробнее) НАО "ПЕРВОЕ КЛИЕНТСКОЕ БЮРО" (подробнее) ПАО Страховое "Ингосстрах"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