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новом рассмотрении определением суда первой инстанции от 08.02.2019 в удовлетворении заявленных требований отказано. Постановлением суда апелляционной инстанции от 24.07.2019, оставленным без изменения постановлением суда округа от 17.10.2019, названное определение отменено, заявление удовлетворено. В кассационных жалобах, поданных в Верховный Суд Российской Федерации, заявители просят обжалуемые судебные акты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кассационных жалоб не установлено. Разрешая спор и отменяя определение от 08.02.2019, суд апелляционной инстанции руководствовался положениями статей 10 и 168 Гражданского кодекса Российской Федерации, статьи 213.32 Федерального закона от 26.10.2002 № 127-ФЗ «О несостоятельности (банкротстве)» и исходил из того, что оспариваемые сделки заключены со злоупотреблением правом, поскольку в результате их совершения должником безвозмездно в пользу заинтересованного лица отчуждено имущество во вред кредиторам. При таких условиях суд апелляционный суд удовлетворил заявленные требования, с чем впоследствии согласился суд округа. Доводы заявителей кассационных жалоб выводы судов не опровергают и не свидетельствуют о наличии оснований для передачи жалобы на рассмотрение в судебном заседании. При этом если заявители полагают, что присужденное по реституции имущество у ответчика отсутствует, они не лишены возможности обратиться с заявлением об изменении способа исполнения судебного акта по правилам статьи 324 Арбитражного процессуального кодекса Российской Федерации.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И.А. Букина Российской Федерации Суд: Верховный Суд РФ (подробнее) Истцы: ООО "Факторинговая компания "Лайф" (подробнее) ООО "ФК ЛАЙФ" (подробнее) Финансовый управляющий Климентов И.С. (подробнее) Ответчики: ПАО "Транскапиталбанк" (подробнее) Иные лица: АНО "НИИСЭ" (подробнее) Ассоциация "Сибирская межрегиональная саморегулируемая организация арбитражных управляющих" (подробнее) ПАУ ЦФО (подробнее) Судьи дела: Корнелюк Е.С.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