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«Самарский Научно-исследовательский и Проектный институт нефтедобычи» обратилось в Арбитражный суд Самарской области с иском о взыскании с АО «Магистраль» 2 628 655 рублей 37 копеек неосновательного обогащения и 2 628 655 рублей 37 копеек штрафа по договору от 15.01.2020 № 3410020/0016Д/6232х на оказание транспортных услуг. Решением Арбитражного суда Самарской области от 11.11.202 иск удовлетворен. Постановлением Одиннадцатого арбитражного апелляционного суда от 10.02.2023 решение суда первой инстанции оставлено без изменения. Арбитражный суд Поволжского округа постановлением от 24.05.2023 указанные судебные акты оставил без изменения. АО «Магистраль»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Удовлетворяя иск, суды,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истолковав условия договора в соответствии с положениями статьи 431 Гражданского кодекса Российской Федерации, руководствуясь статьями 309, 310, 330, 779, 785, 1102 Гражданского кодекса Российской Федерации, пришли к выводу о применении ответчиком неверного (завышенного) тарифа при расчете стоимости оказанных услуг, в результате чего на стороне ответчика возникло неосновательное обогащение и установили наличие оснований для удовлетворения требования о взыскании предусмотренной договором штрафной неустойки.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