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Республики Башкортостан Центр организации дорожного движения обратилось в Арбитражный суд Республики Башкортостан с иском о взыскании с MASTER-TRANSPORT DOO GROCKA 515 513 рублей ущерба, причиненного тяжеловесным транспортным средством при движении по автомобильным дорогам общего пользования Республики Башкортостан регионального или межмуниципального значения. Решением Арбитражного суда Республики Башкортостан от 04.04.2022 иск удовлетворен. Постановлением Восемнадцатого арбитражного апелляционного суда от 27.10.2022 решение суда первой инстанции отменено по безусловным основаниям, иск удовлетворен. Арбитражный суд Уральского округа постановлением от 25.05.2023 постановление суда апелляционной инстанции оставил без изменения. MASTER-TRANSPORT DOO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нарушения норм материального и процессуального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1064, 1079, 1082 Гражданского кодекса Российской Федерации, статьями 11, 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16.11.2009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суд апелляционной инстанции признал иск обоснованным и подлежащим удовлетворению, исходя из доказанности факта превышения ответчиком предельно допустимых значений нагрузки на ось транспортного средства и отсутствия специального разрешения на перевозку тяжеловесного груза. Суд округа поддержал выводы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