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Коротаевой И.В. в Арбитражный суд города Москвы обратилась должник с заявлением о разрешении разногласий между ней и финансовым управляющим. Определением Арбитражного суда города Москвы от 16.01.2023 разрешены разногласия и установлена сумма, подлежащая выплате должнику из конкурсной массы, в размере 3 288 633 рублей. Постановлением Девятого арбитражного апелляционного суда от 05.04.2023 определение суда первой инстанции изменено; установлена сумма, подлежащая выплате должнику из конкурсной массы, в размере 4 666 441 рубля 92 копеек; в удовлетворении заявления в остальной части отказано. Арбитражный суд Московского округа постановлением от 18.07.2023 постановление суда апелляционной инстанции оставил без изменения. Финансовый управляющий имуществом должника Маркин М.С. обратился в Судебную коллегию Верховного Суда Российской Федерации с кассационной жалобой на принятые по обособленному спору постановления 2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разногласия, суды апелляционной и кассационной инстанций руководствовались статьями 60, 213.25 Федерального закона от 26.10.2002 № 127-ФЗ «О несостоятельности (банкротстве)», статьей 446 Гражданского процессуального кодекса Российской Федерации, положениями Федерального закона от 16.07.1998 № 102-ФЗ «Об ипотеке (залоге недвижимости)»,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денежные средства, полученные от реализации единственного жилья должника, являвшегося предметом ипотеки, после выплаты залоговому кредитору и погашения расходов по процедуре банкротства должника и организации торгов по продаже имущества подлежат выплате должнику на приобретение замещающего жилья для нее и ее малолетних детей.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