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Сердитова А.Б. в Арбитражный суд Республики Коми обратился финансовый управляющий имуществом должника Паролло А.В. с заявлением о признании недействительным договора купли-продажи квартиры от 15.04.2010, заключенного между Крыловым С.А. (продавцом) и Сердитовым Б.А. (покупателем) в части указания покупателем Сердитова Б.А.; применении последствий недействительности сделки в виде признания стороной договора (покупателем) должника и признания за должником права собственности на квартиру. Определением Арбитражного суда Республики Коми от 21.11.2022, оставленным без изменения постановлением Второго арбитражного апелляционного суда от 02.02.2023 и постановлением Арбитражного суда Волго-Вятского округа от 23.05.2023, в удовлетворении заявления отказано. АО «Сыктывкарский ЛВЗ» обратилось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181, 195, 199 Гражданского кодекса Российской Федерации и исходили из пропуска финансовым управляющим срока исковой давности по заявленному требованию, не установив признаков недобросовестности в действиях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