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Красноярского края от 08.09.2022, оставленным без изменения постановлением Третьего арбитражного апелляционного суда от 20.01.2023 и постановлением Арбитражного суда Всточно-Сибирского округа от 18.05.2023, в удовлетворении иска отказано. В кассационной жалобе общество №УЖДТ УС-604» просит об отмене судебных актов, ссылаясь на неприменение ответственности вследствие причинения вреда и неправильный вывод об отсутствии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правоотношения сторон возникли из договоров, исполненных сторонами в соответствии с условиями, поэтому нормы об обязательствах из причинения вреда и неосновательного обогащения к таким правоотношениям неприменимы.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«УЖДТ УС-604»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