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«Уральский банк реконструкции и развития» (далее – банк) обратился в суд с заявлением о включении в реестр требований кредиторов должника (далее – реестр) требования в размере 42 489 333 рублей. Определением Арбитражного суда города Санкт – Петербурга и Ленинградской области от 27.10.2022, оставленным без изменения постановлениями Тринадцатого арбитражного апелляционного суда от 14.02.2023 и Арбитражного суда Северо-Западного округа от 30.06.2023, производство по заявлению прекращено.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Доводов о несогласии с обжалуемыми судебными актами в части правомерности отнесения судами требований банка к текущим обязательствам в поданной заявителем кассационной жалобе не содержится. Заявитель настаивает на необходимости исследования судами в рамках настоящего спора действительности заявленных банком требований.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Отклоняя возражения конкурсного управляющего, суды исходили из того, что коль скоро требование банка носит текущий характер, что заявителем не оспаривается, при предъявлении банком иска к должнику конкурсный управляющий вправе представлять доказательства и приводить мотивированные возражения против обоснованности заявленного иска, правомерности формирования задолженности перед банком и её размера, действительности сделок, положенных в основу искового требования банка. Выводы судов в обжалуемой заявителем части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заявителя о необходимости рассмотрения текущего требования по существу в банкротной процедуре правомерно отклонены судами как подлежащие оценке в случае предъявления к взысканию долга как текущей задолженности.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