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23.12.2022, оставленным без изменения постановлением Десятого арбитражного апелляционного суда от 28.02.2023, заявление удовлетворено. Постановлением Арбитражного суда Московского округа от 21.06.2023, определение от 23.12.2022 и постановление Десятого арбитражного апелляционного суда от 28.02.2023 отменены, спор направлен на новое рассмотрение в суд первой инстанции. В кассационных жалобах общество и управляющий просят отменить постановление окружного суда, ссылаясь на игнорирование направленности действий погасившего обеспеченную залогом задолженность лица на изменение пропорции распределения имеющихся в конкурсной массе денежных средств.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 кассационной инстанции, признав необходимость нового рассмотрения спора для установления не исследованных судом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«АктивБизнесКонсалт» и финансовому управляющему Хомякову Михаилу Сергеевичу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