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«РДЛ-Телеком» обратилось в Арбитражный суд города Москвы с иском о взыскании с АО «Федеральная пассажирская компания» 107 231 290 рублей 80 копеек упущенной выгоды. Решением Арбитражного суда города Москвы от 23.12.2022, оставленным без изменения постановлением Девятого арбитражного апелляционного суда от 22.02.2023 и постановлением Арбитражного суда Московского округа от 30.05.2023, в удовлетворении иска отказано. ООО «РДЛ-Телеком»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15, 309, 310, 393, 431, 781 Гражданского кодекса Российской Федерации, суды пришли к выводу о необоснованности иска, учитывая, что фактические объемы предоставленных услуг не повлекли для истца дополнительных расходов и отсутствуют доказательства того, что истцом были осуществлены приготовления для оказания услуг в большем объеме, чем фактически потребовалось оказать.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