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27.12.2022, оставленным без изменения постановлениями Пятнадцатого арбитражного апелляционного суда от 14.03.2023 и Арбитражного суда Северо-Кавказского округа от 14.06.2023, отказано в удовлетворении названных требований банка.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Ростовской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166 и 449 Гражданского кодекса Российской Федерации, исходили из недоказанности причин для удовлетворения требований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а также на пересмотр судебных актов, принятых по итогам рассмотрения обособленных споров в рамках дела № А53-33429/2018 Арбитражного суда Ростовской области о банкротстве общества с ограниченно ответственностью «Лира», которые уже были предметом обжалования в Верховном Суде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