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04.10.2022, оставленным без изменения постановлением Первого арбитражного апелляционного суда от 16.12.2022 и постановлением Арбитражного суда Волго-Вятского округа от 06.04.2023, в удовлетворении заявления отказано. В кассационной жалобе Сыряев Е.И. просит об отмене судебных актов, ссылаясь на неправильное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Судебные акты основаны на статье 61.9 Федерального закона от 26.10.2002 № 127-ФЗ «О несостоятельности (банкротстве)», статье 181 Гражданского кодекса Российской Федерации и их судебном толковании и применении. Вопреки доводу управляющего суды дали оценку его действиям, с которыми связано начало течения срока исковой давности, смешиваемого управляющим со сроком заключения сделок, относящим их к оспариваемым в силу статьи 62 названного Закона.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Сыряеву Е.И.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