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25.01.2023, оставленным без изменения постановлением Девятого арбитражного апелляционного суда от 29.03.2023 и постановление Арбитражного суда Московского округа от 15.06.2023, процедура реализации имущества гражданина завершена, должник не освобожден от дальнейшего исполнения требований кредиторов. В кассационной жалобе Шин М.М. просит об отмене судебных актов в части неосвобождения ее от исполнения обязательства, ссылаясь на несоответствие вывода судов о ее недобросовестности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 исследованных обстоятельствах образования и погашения несложенной задолженности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ее уплаты. Иная оценка должником своих действий по отношению к кредитору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Шин Марионне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