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02.02.2023, оставленным без изменения постановлением Третьего арбитражного апелляционного суда от 12.04.2023 и постановлением Арбитражного суда Восточно-Сибирского округа от 08.06.2023, в удовлетворении заявления отказано. В кассационной жалобе Мизевич А.В. просит об отмене судебных актов, ссылаясь на неправильную оценку обстоятельств заключения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оценив обстоятельств спора с учетом выводов судов по ранее рассмотренному в отношении тех же сделок в деле о банкротстве спору установили отсутствие условий для недействительности сделок как в силу законодательства о банкротстве, так и общегражданских норм. Иная оценка обстоятельств совершения сделок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Мизевичу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