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24.11.2022, оставленным без изменения постановлением Девятого арбитражного апелляционного суда от 21.02.2023 и постановлением Арбитражного суда Московского округа от 29.05.2023, в удовлетворении ходатайства финансового управляющего об истребовании имущества у бывшей супруги должника отказано. В кассационной жалобе Лаврентьев Е.А. просит о пересмотре судебных актов, ссылаясь на взаимоисключающие выводы, нарушение презумпции, соблюдение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рассмотрено заявленное процессуальное требование, в пределах которого обязанность доказывания возложена на управляющего в соответствии со статьей 66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Лаврентьеву Евгению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