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временный управляющий Яковлев Артур Викторович обратился в суд с заявлением о взыскании с общества «ПрофБухгалтеры К» судебной неустойки. Определением Арбитражного суда города Москвы от 25.11.2022, оставленным без изменения постановлениями Девятого арбитражного апелляционного суда от 10.03.2023 и Арбитражного суда Московского округа от 29.05.2023, с общества «ПрофБухгалтеры К» в пользу должника взыскана судебная неустойка в размере 10 000 рублей за каждый день просрочки до момента фактического исполнения судебного акта – определения Арбитражного суда города Москвы от 29.07.2022. В кассационной жалобе, поданной в Верховный Суд Российской Федерации, заявитель просить отменить оспариваемые судебные акты. Исходя из доводов жалобы, заявитель просит снизить размер судебной неустойки. Жалоба изучена в пределах заявленных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308.3 Гражданского кодекса Российской Федерации, разъяснениями, изложенными в пункте 28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установив, что на момент обращения с заявлением о взыскании судебной неустойки общество «ПрофБухгалтеры К» не исполняло обязанность по передаче документации должника длительное время, пришли к выводу о соразмерности суммы судебной неустойки.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