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Шарафаненко Германа Валерьевича в Арбитражный суд Ростовской области обратился финансовый управляющий с заявлением о признании недействительным договора дарения от 12.11.2014, заключенного между должником и Шарафаненко Мариной Валерьевной, Вартановой Кристиной Германовной, Шарафаненко Валерией Германовной, и применении последствий недействительности сделки в виде возврата в конкурсную массу должника объектов недвижимости. Определением Арбитражного суда Ростовской области от 13.12.2022 в удовлетворении заявления отказано. Постановлением Пятнадцатого арбитражного апелляционного суда от 09.03.2023 определение суда первой инстанции отменено, заявление удовлетворено, договор дарения признан недействительным, применены последствия недействительности сделки в виде возврата недвижимого имущества в конкурсную массу должника. Арбитражный суд Северо-Кавказского округа постановлением от 08.06.2023 отменил постановление апелляционного суда и оставил в силе определение суда первой инстанции. 2 Ганжа М.В. обратился в Судебную коллегию Верховного Суда Российской Федерации с кассационной жалобой на судебные акты судов первой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статьями 10,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отсутствия при заключении спорного договора признаков злоупотребления правом, недоказанности неплатежеспособности или недостаточности имущества должника на момент совершения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