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«Камбер» обратилось в суд с заявлением о включении в реестр требований кредиторов должника (далее – реестр) требования в размере 30 381 307 рублей 46 копеек, составляющих задолженность по кредитным договорам от 12.10.2016 № 2016-099, от 07.04.2017 №2017-0028, от 14.06.2017 №2017-0055, как обеспеченных залогом. Определением Арбитражного суда Камчатского края от 12.04.2022 названные требования общества «Камбер» включены в третью очередь реестра как обеспеченные залогом. Постановлением Пятого арбитражного апелляционного суда от 21.02.2023, оставленным без изменения постановлением Арбитражного суда Дальневосточного округа от 19.05.2023, изменено определение суда первой инстанции от 12.04.2022 в части определения очерёдности удовлетворения требований; названные требования общества «Камбер» признаны подлежащими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акты. Исходя 2 из содержания настоящей жалобы, заявитель не согласен с обжалуемыми судебными актами в части понижения очерёдности удовлетворения его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статьи 19 Федерального закона от 26.10.2002 № 127-ФЗ «О несостоятельности (банкротстве)», правовой позицией, изложенной в пунктах 3, 3.2, 3.3 и 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29.01.2020, пришёл к выводу о наличии оснований для субординации требований общества «Камбер».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