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«ЮгхимКом» (далее – общество «ЮгхимКом») обратилось в суд с заявлением о включении в реестр требований кредиторов должника (далее – реестр) задолженности в размере 30 378 421 рубль 64 копейки за поставленную продукцию. Определением Арбитражного суда Ростовской области от 02.12.2022 отказано в удовлетворении требований. Постановлением Пятнадцатого арбитражного апелляционного суда от 20.02.2023, оставленным без изменения постановлением Арбитражного суда Северо-Кавказского округа от 22.05.2023, отменено определение суда первой инстанции от 02.12.2022; требования общества «ЮгхимКом» в заявленном размере включены в третью очередь реестра.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статьи 203 Гражданского кодекса Российской Федерации, статей 71 и 100 Федерального закона от 26.10.2002 № 127-ФЗ «О несостоятельности (банкротстве)», правовой позицией, изложенной в пункте 20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отклонив доводы о пропуске срока исковой давности для предъявления настоящих требований, пришел к выводу об обоснованности и подтверждённости требований общества «ЮгхимКом» к должнику в указанном размере и, как следствие, наличие оснований для их включения в третью очередь реестра.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