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установлении признаков преднамеренного банкротства должника и понижения в очерёдности удовлетворения требований двух конкурсных кредиторов – обществ с ограниченной ответственностью «Тверьстройпоставка» и «Металл-ТМ». Определением Арбитражного суда Тверской области от 30.11.2022, оставленным без изменения постановлениями Четырнадцатого арбитражного апелляционного суда от 02.02.2023 и Арбитражного суда Северо-Западного округа от 23.05.2023,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16, 20.3 Федерального закона от 26.10.2002 № 127-ФЗ «О несостоятельности (банкротстве)», пунктом 11 Временных правил проведения арбитражным управляющим наличия признаков фиктивного и (или) преднамеренного банкротства, утвержденных Постановлением Правительства РФ от 27.12.2004 № 855,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исходили из отсутствия необходимости для повторной проверки наличии признаков фиктивного и преднамеренного банкротства должника (ранее проведённой в процедуре наблюдения временным управляющим, чьи действия не оспаривались), направленности заявленных требований в части установления очерёдности удовлетворения требований двух конкурсных кредиторов на преодоление общеобязательной силы вступивших в законную силу судебных актов по делу о банкротстве, в связи с чем отказали в удовлетворении заявления.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