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17.11.2022 процедура реализации имущества Гурина А.В. завершена, в отношении должника не применены правила об освобождении от исполнения обязательств перед кредиторами. Постановлением Четырнадцатого арбитражного апелляционного суда от 22.02.2023 определение суда первой инстанции оставлено без изменения. Арбитражный суд Северо-Западного округа постановлением от 22.05.2023 указанные судебные акты оставил без изменения. Гурин А.В.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установленных обстоятельств недобросовестного поведения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