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26.10.2022, оставленным без изменения постановлением Семнадцатого арбитражного апелляционного суда от 24.01.2023 и постановлением Арбитражного суда Уральского округа от 18.05.2023, в удовлетворении иска отказано. В кассационной жалобе общество «Электротяжмаш-Привод» просит об отмене судебных актов, ссылаясь на неосновательные признание его ненадлежащим истцом и освобождение от ответственности ответчиков.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отсутствие у истца с ответчиками обязательственных отношений по перевозке утраченного груза, поэтому признали невозможным применение ответственности, предусмотренной статьей 796 Гражданского кодекса Российской Федерации. Солидарная ответственность вследствие причинения вред (глава 59 Гражданского кодекса Российской Федерации) также неприменима при наличии в отношении груза иного обязательства.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«Электротяжмаш-Привод»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