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«Ц-Сервис» (далее – Общество) обратилось в Арбитражный суд города Москвы с исковым заявлением к индивидуальному предпринимателю Острецову Валерию Митрофановичу (далее – Предприниматель) о взыскании 716 608,08 руб. неосновательного обогащения за период с 01.03.2021 по 31.06.2021; 24 784,86 руб. процентов за пользование чужими денежными средствами за период с 21.10.2021 по 09.03.2022 с их последующим начислением по день фактической уплаты, неосновательного обогащения за период с 01.07.2021 по 31.12.2021; процентов за пользование чужими денежными средствами за период с 19.01.2022 по 09.03.2022 с их последующим начислением по день фактической уплаты долга. Решением Арбитражного суда города Москвы от 15.07.2022, оставленным без изменения постановлением Девятого арбитражного апелляционного суда от 28.10.2022 и постановлением Арбитражного суда Московского округа от 21.02.2023,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2 несоответствие выводов судов фактическим обстоятельствам дела, а также существенное норм материального и процессуального права. В обоснование доводов жалобы заявитель указывает, что понес расходы на содержание общего имущества, которые подлежат возмещению; в частности, подлежат возмещению понесенные им расходы по оплате арендных платежей за пользование земельным участком, на котором расположено имущество, как истца, так и ответчика. Суды неправильно применили нормы статей 210, 249, 616 Гражданского кодекса Российской Федерации (далее – Гражданский кодекс), статьи 39 Жилищного кодекса Российской Федерации (далее – Жилищный кодекс).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Предприниматель является собственником нежилых помещений, расположенных по адресу: г. Москва, Дмитровское ш., д. 9, стр. 2 и стр. 3, площадью 2 304,9 кв. м, что составляет 12,07% от общей площади зданий; Общество владеет 28,16% площадей в названных строениях. Кроме того, собственниками нежилых помещений в указанных строениях являются: Литвинцева А.С. – 22,73%, закрытое акционерное общество «1С» – 18,78%, федеральное бюджетное учреждение «РосСтройКонтроль» – 8,35%, Прана Йога – 6,37%, индивидуальный предприниматель Барская А.М. – 3,54%. В обоснование требований Общество указало, что понесло расходы по содержанию общего имущества нежилых зданий, в том числе и за Предпринимателя, в связи с чем была направлена претензия от 30.08.2021, оставление которой без удовлетворения послужило основанием для обращения в арбитражный суд с настоящим иском. Исследовав, оценив по правилам статьи 71 АПК РФ представленные доказательства, руководствуясь статьями 247, 249, 309, 310, 616, 1102 Гражданского кодекса, статьями 44-48 Жилищного кодекса, разъяснениями, изложенными в пункте 41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суды отказали в удовлетворении требований, придя к выводу, что понесенные Обществом траты не могут быть признаны расходами, направленными на 3 содержание общего имущества, в связи с чем у Предпринимателя не возникло обязанности их компенсировать. Суды указали, что истец не привел обоснования в подтверждение того, что расходы по оборудованию поста охраны «тревожной кнопкой», услуги работников охраны, являются необходимыми для сохранения общего имущества. Договор на оказание услуг от 01.03.2021 № М01/21, в том числе по обслуживанию лифтов, уборке двора заключен с ИП Литвинцевой А.С., при этом истец не уведомил ответчика о факте заключения договора, не представил каких- либо альтернатив по исполнению договора возмездного оказания услуг, в том числе относительно цены. Каких-либо соглашений между Обществом и Предпринимателем, регулирующих порядок содержания общего имущества, не заключалось. Подлежит отклонению довод Общества о необходимости возмещения ему понесенных затрат по оплате арендных платежей за пользование земельным участком, на котором расположено имущество, как истца, так и ответчика, поскольку, как усматривается из материалов дела, при разрешении спора в суд первой инстанции истцом не был представлен договор аренды земли от 31.08.1995 № М-09-002965 и дополнительное соглашение к нему от 25.10.2017 об оформлении договора аренды с множественностью лиц на стороне арендатора, на которые он ссылается в настоящей кассационной жалобе. При обращении в суд апелляционной инстанции к апелляционной жалобе был приложен только упомянутый договор аренды земельного участка без дополнительного соглашения от 25.10.2017. Согласно договору аренды от 31.08.1995, заключенного между Правительством города Москвы (арендодатель) и АООТ «Центральный научно- исследовательский и проектный институт индивидуального и экспериментального проектирования жилища» (арендатор) , последнему в пользование сроком на 25 лет предоставлен земельный участок общей площадью 14398 кв.м по адресу: г. Москва, Дмитровское ш., д. 9, стр.1,А,Б. В представленных в материалы дела платежных поручениях по оплате истцом арендных платежей за землю имеются ссылки, как на указанный договор аренды, так и на договор аренды от 27.08.2003, которого не представлено. Таким образом, имеющиеся в материалах дела платежные поручения об оплате истцом арендных платежей за пользование земельным участком, не подтверждают оплату Обществом части арендных платежей за Предпринимателя. Иные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общества с ограниченной ответственностью «Ц-Сервис»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