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03.03.2023, оставленным без изменения постановлением Восьмого арбитражного апелляционного суда от 24.04.2023 и постановлением Арбитражного суда Западно-Сибирского округа от 04.07.2023, заявление удовлетворено. В кассационной жалобе Смагин А.В. просит об отмене судебных актов, ссылаясь на игнорирование судами изменения характеристик имущества, являющегося предметом залога.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Доводу о судьбе залога в связи с изменившимися характеристиками имущества суды дали правовую оценку. В связи с отклонением жалобы ходатайство должника о приостановлении исполнения обжалуемого определения удовлетворению не подлежит.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Смагину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