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Зимаревой Елены Васильевны в Арбитражный суд города Санкт-Петербурга и Ленинградской области обратился финансовый управляющий с заявлением об обязании должника передать финансовому управляющему транспортное средство - легковой автомобиль, комплект ключей и правоустанавливающие документы на него. Определением Арбитражного суда города Санкт-Петербурга и Ленинградской области от 07.12.2022 заявление удовлетворено. Постановлением Тринадцатого арбитражного апелляционного суда от 06.04.2023 определение суда первой инстанции отменено и в удовлетворении заявления отказано. Арбитражный суд Северо-Западного округа постановлением от 13.06.2023 постановление суда апелляционной инстанции оставил без изменения. Марина А.Г. обратилась в Судебную коллегию Верховного Суда Российской Федерации с кассационной жалобой на принятые постановления апелляционного суда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пункта 6 части 1 статьи 101, статьей 213.25 Федерального закона от 26.10.2002 № 127-ФЗ «О несостоятельности (банкротстве)», разъяснениями, изложенными в пункте 49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отсутствии оснований для передачи имущества финансовому управляющему, учитывая в том числе, что состоявшимися судебными актами спорный автомобиль исключен из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