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Максименко Александр Александрович обратился в суд с заявлением о признании недействительными пункта 2.1.1 и подпункта «б» пункта 2.2.1 соглашения от 15.09.2017, заключенного между должником и обществом, предусматривающие стоимость права субаренды земельного участка в размере 25 000 000 рублей; а также порядок оплаты обществом переданного ему должником права субаренды земельного участка; просил установить стоимость данного имущественного права в размере 73 490 000 рублей; применить последствия недействительности сделки. Определением Арбитражного суда Ярославской области от 04.11.2022 заявление удовлетворено. Постановлением Второго арбитражного апелляционного суда от 06.03.2023, оставленным без изменения постановлением Арбитражного суда Волго-Вятского округа от 21.06.2023, принят отказ конкурсного управляющего в части обжалования абзаца первого подпункта «б» пункта 2.2.1 соглашения от 15.09.2017; определение суда первой инстанции в данной части отменено, производство по обособленному спору в указанной части прекращено. В остальной части определение суда первой инстанции от 04.11.2022 оставлено без изменения.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Доводов о несогласии с обжалуемыми судебными актами в части, касающейся 2 процессуальных вопросов принятия апелляционным судом отказа конкурсного управляющего от части заявленных требований, отмены определения суда первой инстанции и прекращения производства по спору в данной части требований, в поданной заявителем кассационной жалобе не содержится.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и результатов проведённой судебной экспертизы в соответствии с правилами главы 7 Арбитражного процессуального кодекса Российской Федерации, руководствуясь пунктом 1 статьи 61.2 Федерального закона от 26.10.2002 № 127-ФЗ «О несостоятельности (банкротстве)», исходили из доказанности конкурсным управляющим совокупности условий для признания недействительной оспариваемой сделки, совершённой в период подозрительности должником с неравноценным встречным исполнением со стороны заявителя (ставшего приобретателем ранее принадлежавшего должнику права субаренды земельного участка на нерыночных, убыточных для должника, условиях). Выводы судов в обжалуемой заявителем части соответствуют нормам права, оснований для переоценки этих выводов не имеется. Доводы заявителя, в том числе о нарушении порядка проведения судебной экспертизы,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