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06.12.2019, оставленным без изменения постановлениями судов апелляционной инстанции от 11.02.2020 и округа от 13.07.2020, в удовлетворении требований о признании сделки недействительной отказано. Заявление банка о включении в реестр удовлетворено. В кассационных жалобах, поданных в Верховный Суд Российской Федерации, заявители просят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кассационных жалоб не установлено. Разрешая спор, суды руководствовались положениям статей 16, 61.2, 71, 100 Федерального закона от 26.10.2002 № 127-ФЗ «О несостоятельности (банкротстве)» и исходили из отсутствия оснований для признания оспариваемого кредитного соглашения недействительным, ввиду чего суды сочли подлежащим установлению в реестре требование банка, вытекающее из этого соглашения. Доводы заявителей кассационных жалоб выводы судов не опровергают и не свидетельствуют о наличии оснований для передачи жалобы на рассмотрение в судебном заседании. Если заявители полагают, что выдача кредита являлась частью сделки по переводу задолженности третьего лица на должника, они не лишены возможности оспорить соответствующую сделку по переводу долга в рамках отдельного обособленного спора.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БукинаРоссийской Федерации Суд: Верховный Суд РФ (подробнее) Истцы: АО "МОСЭНЕРГОСБЫТ" (подробнее) АО "ПСН" (подробнее) ООО "ЗИЛАНДИЯ" (подробнее) ООО к/у "Риал Эстейт Менеджмент" Назаров К.В. (подробнее) ООО "МОСКОВСКАЯ СИТЦЕНАБИВНАЯ ФАБРИКА" (подробнее) ООО "РИАЛ ЭСТЕЙТ МЕНЕДЖМЕНТ" (подробнее) ООО "Строй сервис" (подробнее) ПАО "Промсвязьбанк" (подробнее) Ответчики: ООО "РПХ строй"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