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Кирпичев Александр Игоревич обратился в суд с заявлением о взыскании с бывшего руководителя должника Гудилина А.А. убытков в размере 3 300 000 рублей. Определением Арбитражного суда Ростовской области от 31.08.2022, оставленным без изменения постановлениями Пятнадцатого арбитражного апелляционного суда от 15.12.2022 и Арбитражного суда Северо-Кавказского округа от 08.06.2023,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15, 53, 53.1, 1064 Гражданского кодекса Российской Федерации, установив, что в период внесения изменений в ЕГРЮЛ в отношении должника, заявитель, фактически представляясь его генеральным директором, получал от контрагентов денежные средства, которые в кассу или на расчётный счёт должника не поступили, пришли к выводам о доказанности совокупности условий для привлечения бывшего руководителя должника к гражданско-правовой ответственности в виде взыскания убытков.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