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Башкортостан обратилась должник с заявлением об исключении из конкурсной массы легкового автомобиля. Определением Арбитражного суда Республики Башкортостан от 17.10.2022 в удовлетворении заявления отказано. Постановлением Восемнадцатого арбитражного апелляционного суда от 13.03.2023 определение суда первой инстанции оставлено без изменения. Арбитражный суд Уральского округа постановлением от 01.06.2023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руководствовались статьями 213.25 , 213.26 Федерального закона от 26.10.2002 № 127-ФЗ «О несостоятельности (банкротстве)», разъяснениями, изложенными в постановлениях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от 25.12.2018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доказательств необходимости исключения транспортного средства из конкурсной массы должника, в том числе для удовлетворения жизненно необходимых потребностей должника и членов его семьи.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МИФНС России №4 по РБ (подробнее) ООО "Активбизнесколлекшн" (подробнее) ПАО "Финансовая корпорация Открытие" (подробнее) Иные лица: УФНС по РБ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