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перечисление должником 15.10.2021 в пользу общества с ограниченной ответственностью «РенессансПроект» (далее – общество) 5 515 241 рубля 23 копеек за выполненные проектно-изыскательские работы по государственному контракту от 30.10.2018 № 15-18/ПИР и применении последствий недействительности сделки. Определением Арбитражного суда Ростовской области от 26.10.2022 отказано в удовлетворении требований. Постановлением Пятнадцатого арбитражного апелляционного суда от 29.12.2022 отменено определение суда первой инстанции от 26.10.2022; заявление удовлетворено. Постановлением Арбитражного суда Северо-Кавказского округа от 17.05.2023 отменено постановление апелляционного суда от 29.12.2022, оставлено в силе определение суда первой инстанции от 29.12.2022. В кассационной жалобе, поданной в Верховный Суд Российской Федерации, заявитель просит отменить названные определение суда первой инстанции и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суд первой инстанции, руководствуясь положениями статьи 61.3 Федерального закона от 26.10.2002 № 127-ФЗ «О несостоятельности (банкротстве)» (далее – Закон о банкротстве), установив целевой характер оспариваемого перечисления денежных средств, совершённого в рамках государственного контракта, пришёл к выводу об отсутствии нарушения очерёдности удовлетворения требований кредиторов должника, указав также на наличие оснований для применения исключений, предусмотренных положениями статьи 61.4 Закона о банкротстве. Отменяя определение суда первой инстанции и удовлетворяя требования, апелляционный суд указал, что оспариваемое перечисление привело к предпочтительному удовлетворению требований общества, чем было бы оказано в случае расчётов с кредиторами в порядке очерёдности в соответствии с законодательством о банкротстве. Отменяя постановление суда апелляционной инстанции и оставляя в силе определение суда первой инстанции, суд округа поддержал выводы суда первой инстанции о том, что перечисленные денежные средства не подлежали включению в конкурсную массу должника.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