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11.07.2022, оставленным без изменения постановлением Тринадцатого арбитражного апелляционного суда от 30.11.2022 и постановлением Арбитражного суда Северо-Западного округа от 29.05.2023, в удовлетворении заявления отказано. В кассационной жалобе Думнова Е.С. просит об отмене судебных актов, ссылаясь на невозможность регистрации перехода права собственности после введения процедуры реализации имущества должника, нерассмотрение ходатайства.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 купли-продажи, являющийся основанием для приобретения права собственности, признан судом действительным, следовательно, основанное на нем право подлежит регистрации в силу статьи 131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Думновой Елене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