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Белов Василий Георгиевич обратился в суд с заявлением об увеличении лимита расходов в процедуре конкурсного производства, связанных с оплатой услуг привлечённых специалистов, и признания обоснованным привлечение им лиц для оказания бухгалтерских, юридических услуг. Определением Арбитражного суда Челябинской области от 28.10.2022, оставленным без изменения постановлениями Восемнадцатого арбитражного апелляционного суда от 18.01.2023 и Арбитражного суда Уральского округа от 15.05.2023, заявление удовлетворено частично; признано обоснованным привлечение для оказания бухгалтерских услуг Бессоновой Светланы Николаевны с оплатой услуг с 01.11.2020 по день окончания процедуры конкурсного производства в размере 11 494 рубля ежемесячно; признано обоснованным привлечение для оказания юридических услуг Попкова Василия Ивановича с 01.11.2020 по 31.05.2021 с оплатой услуг в размере 5 747 рублей.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и отказать в удовлетворении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 и 20.7 Федерального закона от 26.10.2002 № 127-ФЗ «О несостоятельности (банкротстве)», установив необходимость привлечения специалистов и разумную стоимость оплаты их услуг, пришли к выводу о наличия оснований для частичного удовлетворения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