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15.11.2022, оставленным без изменения постановлением Арбитражного суда Волго-Вятского округа от 26.05.2023,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